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 Meeting #109</w:t>
        <w:tab/>
        <w:t>SP- 251239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/>
          <w:sz w:val="22"/>
          <w:szCs w:val="22"/>
        </w:rPr>
        <w:t>Beijing, China</w:t>
      </w:r>
      <w:r>
        <w:rPr>
          <w:rFonts w:cs="Arial" w:ascii="Arial" w:hAnsi="Arial"/>
          <w:b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15 – 19 September</w:t>
      </w:r>
      <w:r>
        <w:rPr>
          <w:rFonts w:cs="Arial" w:ascii="Arial" w:hAnsi="Arial"/>
          <w:b/>
          <w:sz w:val="22"/>
          <w:szCs w:val="22"/>
        </w:rPr>
        <w:t xml:space="preserve"> 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SA WG3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 New 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S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>ID on security for PLMN hosting a NPN phase 2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cs="Arial" w:ascii="Arial" w:hAnsi="Arial"/>
          <w:b/>
          <w:sz w:val="22"/>
          <w:szCs w:val="22"/>
        </w:rPr>
        <w:t>3GPP TSG-SA3 Meeting #1</w:t>
      </w:r>
      <w:r>
        <w:rPr>
          <w:rFonts w:eastAsia="SimSun" w:cs="Arial" w:ascii="Arial" w:hAnsi="Arial"/>
          <w:b/>
          <w:sz w:val="22"/>
          <w:szCs w:val="22"/>
          <w:lang w:val="en-US" w:eastAsia="zh-CN"/>
        </w:rPr>
        <w:t>23</w:t>
      </w:r>
      <w:r>
        <w:rPr>
          <w:rFonts w:cs="Arial" w:ascii="Arial" w:hAnsi="Arial"/>
          <w:b/>
          <w:sz w:val="22"/>
          <w:szCs w:val="22"/>
        </w:rPr>
        <w:tab/>
        <w:t>S3-25</w:t>
      </w:r>
      <w:r>
        <w:rPr>
          <w:rFonts w:eastAsia="SimSun" w:cs="Arial" w:ascii="Arial" w:hAnsi="Arial"/>
          <w:b/>
          <w:sz w:val="22"/>
          <w:szCs w:val="22"/>
          <w:lang w:val="en-US" w:eastAsia="zh-CN"/>
        </w:rPr>
        <w:t>2960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SimSun" w:cs="Arial"/>
          <w:b/>
          <w:lang w:val="en-US" w:eastAsia="zh-CN"/>
        </w:rPr>
      </w:pPr>
      <w:r>
        <w:rPr>
          <w:rFonts w:cs="Arial" w:ascii="Arial" w:hAnsi="Arial"/>
          <w:b/>
          <w:sz w:val="22"/>
          <w:szCs w:val="22"/>
        </w:rPr>
        <w:t>Goteborg, Sweden, 25 – 28 August 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China Telecom, ZTE, China Unicom, China Mobile, CAICT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/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S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 xml:space="preserve">ID on security for PLMN hosting a NPN phase 2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6.1.5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851" w:start="851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eastAsia="Times New Roman" w:cs="Times New Roman" w:ascii="Arial" w:hAnsi="Arial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eastAsia="Times New Roman" w:ascii="Arial" w:hAnsi="Arial"/>
          <w:sz w:val="36"/>
          <w:lang w:eastAsia="ja-JP"/>
        </w:rPr>
        <w:t>Study on security for PLMN hosting a NPN</w:t>
      </w:r>
      <w:r>
        <w:rPr>
          <w:rFonts w:eastAsia="SimSun" w:ascii="Arial" w:hAnsi="Arial"/>
          <w:sz w:val="36"/>
          <w:lang w:val="en-US" w:eastAsia="zh-CN"/>
        </w:rPr>
        <w:t xml:space="preserve"> phase 2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eastAsia="SimSun" w:cs="Times New Roman" w:ascii="Arial" w:hAnsi="Arial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  <w:tab/>
        <w:t>1090017</w:t>
      </w:r>
    </w:p>
    <w:p>
      <w:pPr>
        <w:pStyle w:val="Guidance"/>
        <w:rPr/>
      </w:pPr>
      <w:r>
        <w:rPr/>
        <w:t xml:space="preserve"> 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SimSu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  <w:tab/>
        <w:t>Rel-</w:t>
      </w:r>
      <w:r>
        <w:rPr>
          <w:rFonts w:eastAsia="SimSun" w:cs="Times New Roman" w:ascii="Arial" w:hAnsi="Arial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Guidance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00"/>
        <w:gridCol w:w="1101"/>
        <w:gridCol w:w="1102"/>
        <w:gridCol w:w="6010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 xml:space="preserve"> </w:t>
            </w:r>
            <w:r>
              <w:rPr/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overflowPunct w:val="true"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01"/>
        <w:gridCol w:w="3325"/>
        <w:gridCol w:w="5100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1020039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Study on security for PLMN hosting a NPN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>Antecedent  study item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1060067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for PLMN hosting a NPN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 xml:space="preserve">Antecedent  </w:t>
            </w:r>
            <w:r>
              <w:rPr>
                <w:rFonts w:eastAsia="SimSun"/>
                <w:lang w:val="en-US" w:eastAsia="zh-CN"/>
              </w:rPr>
              <w:t>work</w:t>
            </w:r>
            <w:r>
              <w:rPr/>
              <w:t xml:space="preserve"> item</w:t>
            </w:r>
          </w:p>
        </w:tc>
      </w:tr>
    </w:tbl>
    <w:p>
      <w:pPr>
        <w:pStyle w:val="FP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other deployment use cases and security issues that need to be studied.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1. Protection of N9 interface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 xml:space="preserve">A PNI-NPN may deploy a UPF, which connects to an PLMN UPF via N9 interface. Attackers in PNI-NPN operational domain (e.g., a misbehaving employee in PNI-NPN or an external attacker gaining unauthorized access to the PNI-NPN networks) may use the N9 interface to attack PLMN networks. For example, an attacker from PNI-NPN may be able to use the GTP information (e.g., TEID) obtained from the UPF deployed in PNI-NPN to attack other N9 interfaces, e.g., to hijack subscriber traffic in other GTP tunnels, as described in the research paper </w:t>
      </w:r>
      <w:r>
        <w:rPr/>
        <w:t>"</w:t>
      </w:r>
      <w:r>
        <w:rPr>
          <w:lang w:val="en-US" w:eastAsia="zh-CN"/>
        </w:rPr>
        <w:t xml:space="preserve">Invade the Walled Garden: Evaluating GTP Security in Cellular Networks". </w:t>
      </w:r>
    </w:p>
    <w:p>
      <w:pPr>
        <w:pStyle w:val="NO"/>
        <w:numPr>
          <w:ilvl w:val="0"/>
          <w:numId w:val="1"/>
        </w:numPr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Protection of dedicated CP functions other than AMF, SMF and UDM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 xml:space="preserve">Based on the above justification, the following objectives will be studied: </w:t>
      </w:r>
    </w:p>
    <w:p>
      <w:pPr>
        <w:pStyle w:val="NO"/>
        <w:numPr>
          <w:ilvl w:val="0"/>
          <w:numId w:val="2"/>
        </w:numPr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Identify key issues and potential security requirements for the scenario of PLMN hosting a NPN where the interfaces between PLMN operational domain and PNI-NPN domain include N9. And develop solutions to address the identified security requirements.</w:t>
      </w:r>
    </w:p>
    <w:p>
      <w:pPr>
        <w:pStyle w:val="NO"/>
        <w:numPr>
          <w:ilvl w:val="0"/>
          <w:numId w:val="0"/>
        </w:numPr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NOTE: This SID will not discuss nor study proxies in the intersection between the PLMN operational domain and PNI-NPN operational domain as already covered in Release 19. Nor will the study cover aspects already specified or standardised in GSMA.</w:t>
      </w:r>
    </w:p>
    <w:p>
      <w:pPr>
        <w:pStyle w:val="NO"/>
        <w:numPr>
          <w:ilvl w:val="0"/>
          <w:numId w:val="0"/>
        </w:numPr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 xml:space="preserve">NOTE: It’s </w:t>
      </w:r>
      <w:r>
        <w:rPr>
          <w:rFonts w:eastAsia="DengXian"/>
          <w:lang w:val="en-US" w:eastAsia="zh-CN" w:bidi="ar-SA"/>
        </w:rPr>
        <w:t xml:space="preserve">assumed that attacks happen from </w:t>
      </w:r>
      <w:r>
        <w:rPr>
          <w:rFonts w:eastAsia="SimSun" w:cs="Arial"/>
          <w:lang w:val="en-US" w:eastAsia="zh-CN"/>
        </w:rPr>
        <w:t>PNI-</w:t>
      </w:r>
      <w:r>
        <w:rPr>
          <w:rFonts w:eastAsia="DengXian"/>
          <w:lang w:val="en-US" w:eastAsia="zh-CN" w:bidi="ar-SA"/>
        </w:rPr>
        <w:t xml:space="preserve">NPN to PLMN and PLMN to </w:t>
      </w:r>
      <w:r>
        <w:rPr>
          <w:rFonts w:eastAsia="SimSun" w:cs="Arial"/>
          <w:lang w:val="en-US" w:eastAsia="zh-CN"/>
        </w:rPr>
        <w:t>PNI-</w:t>
      </w:r>
      <w:r>
        <w:rPr>
          <w:rFonts w:eastAsia="DengXian"/>
          <w:lang w:val="en-US" w:eastAsia="zh-CN" w:bidi="ar-SA"/>
        </w:rPr>
        <w:t>NPN.</w:t>
      </w:r>
    </w:p>
    <w:p>
      <w:pPr>
        <w:pStyle w:val="NO"/>
        <w:numPr>
          <w:ilvl w:val="0"/>
          <w:numId w:val="2"/>
        </w:numPr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>Evaluate if security recommendations given in TS 33.501 annex AB apply to  the scenario of PLMN hosting a NPN where more CP functions (except AMF, SMF, UDM) are deployed in PNI-NPN domain.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</w:r>
    </w:p>
    <w:p>
      <w:pPr>
        <w:pStyle w:val="Heading2"/>
        <w:keepLines/>
        <w:spacing w:before="180" w:after="180"/>
        <w:ind w:hanging="1134" w:start="1134" w:end="0"/>
        <w:rPr>
          <w:rFonts w:eastAsia="SimSun"/>
          <w:b w:val="false"/>
          <w:sz w:val="32"/>
          <w:lang w:val="en-US" w:eastAsia="zh-CN"/>
        </w:rPr>
      </w:pPr>
      <w:r>
        <w:rPr>
          <w:rFonts w:eastAsia="SimSun"/>
          <w:b w:val="false"/>
          <w:sz w:val="32"/>
          <w:lang w:val="en-US" w:eastAsia="zh-CN"/>
        </w:rPr>
        <w:t>TU estimates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Total TU estimates for the study phase: 2 TUs (4 meeting cycles)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Total TU estimates for the normative phase: 1 TUs (2 meeting cycles)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Total TU estimates: 3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/>
      </w:pPr>
      <w:r>
        <w:rPr/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993"/>
        <w:gridCol w:w="1074"/>
        <w:gridCol w:w="2185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New specifications 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33.758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rFonts w:eastAsia="SimSun"/>
                <w:lang w:val="en-US" w:eastAsia="zh-CN"/>
              </w:rPr>
            </w:pPr>
            <w:r>
              <w:rPr/>
              <w:t>Study on security for PLMN hosting a NPN</w:t>
            </w:r>
            <w:r>
              <w:rPr>
                <w:rFonts w:eastAsia="SimSun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rFonts w:eastAsia="SimSun"/>
                <w:lang w:val="en-US" w:eastAsia="zh-CN"/>
              </w:rPr>
            </w:pPr>
            <w:r>
              <w:rPr/>
              <w:t>TSG#1</w:t>
            </w:r>
            <w:r>
              <w:rPr>
                <w:rFonts w:eastAsia="SimSun"/>
                <w:lang w:val="en-US" w:eastAsia="zh-CN"/>
              </w:rPr>
              <w:t>11</w:t>
            </w:r>
          </w:p>
          <w:p>
            <w:pPr>
              <w:pStyle w:val="Guidance"/>
              <w:spacing w:before="0" w:after="0"/>
              <w:rPr/>
            </w:pPr>
            <w:r>
              <w:rPr>
                <w:lang w:val="en-US" w:eastAsia="zh-CN"/>
              </w:rPr>
              <w:t>(Mar 2026)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rFonts w:eastAsia="SimSun"/>
                <w:lang w:val="en-US" w:eastAsia="zh-CN"/>
              </w:rPr>
            </w:pPr>
            <w:r>
              <w:rPr/>
              <w:t>TSG#1</w:t>
            </w:r>
            <w:r>
              <w:rPr>
                <w:rFonts w:eastAsia="SimSun"/>
                <w:lang w:val="en-US" w:eastAsia="zh-CN"/>
              </w:rPr>
              <w:t>12</w:t>
            </w:r>
          </w:p>
          <w:p>
            <w:pPr>
              <w:pStyle w:val="Guidance"/>
              <w:spacing w:before="0" w:after="0"/>
              <w:rPr/>
            </w:pPr>
            <w:r>
              <w:rPr>
                <w:lang w:val="en-US" w:eastAsia="zh-CN"/>
              </w:rPr>
              <w:t>(Jun 2026)</w:t>
            </w:r>
          </w:p>
        </w:tc>
        <w:tc>
          <w:tcPr>
            <w:tcW w:w="2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Yuze Liu (ZTE, liu.yuze@zte.com.cn)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445"/>
        <w:gridCol w:w="4343"/>
        <w:gridCol w:w="1418"/>
        <w:gridCol w:w="2100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Impacted existing TS/TR 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Normal"/>
        <w:ind w:hanging="0" w:start="0" w:end="0"/>
        <w:rPr>
          <w:sz w:val="20"/>
        </w:rPr>
      </w:pPr>
      <w:r>
        <w:rPr>
          <w:sz w:val="20"/>
        </w:rPr>
        <w:t>Primary: Jun Shen (China Telecom, shenjun6</w:t>
      </w:r>
      <w:r>
        <w:rPr>
          <w:sz w:val="20"/>
        </w:rPr>
        <w:t>@chinatelecom.cn</w:t>
      </w:r>
      <w:r>
        <w:rPr>
          <w:sz w:val="20"/>
        </w:rPr>
        <w:t xml:space="preserve">), </w:t>
        <w:br/>
        <w:t>Secondary: Yuze Liu (ZTE, liu.yuze</w:t>
      </w:r>
      <w:r>
        <w:rPr>
          <w:sz w:val="20"/>
        </w:rPr>
        <w:t>@zte.com.cn</w:t>
      </w:r>
      <w:r>
        <w:rPr>
          <w:sz w:val="20"/>
        </w:rPr>
        <w:t>)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SA3</w:t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NO"/>
        <w:spacing w:before="0" w:after="180"/>
        <w:ind w:hanging="0" w:start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None</w:t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p>
      <w:pPr>
        <w:pStyle w:val="Guidance"/>
        <w:rPr/>
      </w:pPr>
      <w:r>
        <w:rPr/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China Telecom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CableLabs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China Unicom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China Mobile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Samsung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Lenovo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CAICT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semiHidden="1" w:unhideWhenUsed="1" w:qFormat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HTML Typewriter" w:semiHidden="1" w:unhideWhenUsed="1"/>
    <w:lsdException w:name="Normal Table" w:uiPriority="99" w:semiHidden="1" w:unhideWhenUsed="1" w:qFormat="1"/>
    <w:lsdException w:name="annotation subject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34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 w:val="true"/>
      <w:keepLines/>
      <w:spacing w:before="40" w:after="0"/>
      <w:outlineLvl w:val="7"/>
    </w:pPr>
    <w:rPr>
      <w:rFonts w:ascii="Calibri Light" w:hAnsi="Calibri Light" w:eastAsia="等线 Light" w:cs="" w:asciiTheme="majorHAnsi" w:cstheme="majorBidi" w:eastAsiaTheme="majorEastAsia" w:hAnsiTheme="majorHAnsi"/>
      <w:color w:themeColor="text1" w:themeTint="d9" w:val="262626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Heading8Char" w:customStyle="1">
    <w:name w:val="Heading 8 Char"/>
    <w:basedOn w:val="DefaultParagraphFont"/>
    <w:link w:val="Heading8"/>
    <w:semiHidden/>
    <w:qFormat/>
    <w:rPr>
      <w:rFonts w:ascii="Calibri Light" w:hAnsi="Calibri Light" w:eastAsia="等线 Light" w:cs="" w:asciiTheme="majorHAnsi" w:cstheme="majorBidi" w:eastAsiaTheme="majorEastAsia" w:hAnsiTheme="majorHAnsi"/>
      <w:color w:themeColor="text1" w:themeTint="d9" w:val="262626"/>
      <w:sz w:val="21"/>
      <w:szCs w:val="21"/>
      <w:lang w:eastAsia="en-US"/>
    </w:rPr>
  </w:style>
  <w:style w:type="character" w:styleId="HeaderChar" w:customStyle="1">
    <w:name w:val="Header Char"/>
    <w:link w:val="Header"/>
    <w:qFormat/>
    <w:rPr>
      <w:lang w:eastAsia="en-US"/>
    </w:rPr>
  </w:style>
  <w:style w:type="character" w:styleId="CommentTextChar" w:customStyle="1">
    <w:name w:val="Comment Text Char"/>
    <w:basedOn w:val="DefaultParagraphFont"/>
    <w:link w:val="CommentText"/>
    <w:semiHidden/>
    <w:qFormat/>
    <w:rPr>
      <w:rFonts w:ascii="Arial" w:hAnsi="Arial" w:eastAsia="Times New Roman"/>
      <w:lang w:val="en-GB" w:eastAsia="en-US"/>
    </w:rPr>
  </w:style>
  <w:style w:type="character" w:styleId="CommentSubjectChar" w:customStyle="1">
    <w:name w:val="Comment Subject Char"/>
    <w:basedOn w:val="CommentTextChar"/>
    <w:link w:val="annotationsubject"/>
    <w:qFormat/>
    <w:rPr>
      <w:rFonts w:ascii="Arial" w:hAnsi="Arial" w:eastAsia="Times New Roman"/>
      <w:b/>
      <w:bCs/>
      <w:lang w:val="en-GB"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CommentText">
    <w:name w:val="annotation text"/>
    <w:basedOn w:val="Normal"/>
    <w:link w:val="CommentTextChar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before="0" w:after="100"/>
      <w:ind w:start="1400"/>
    </w:pPr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qFormat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Header">
    <w:name w:val="header"/>
    <w:basedOn w:val="Normal"/>
    <w:link w:val="HeaderChar"/>
    <w:qFormat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TOC9">
    <w:name w:val="toc 9"/>
    <w:basedOn w:val="TOC8"/>
    <w:next w:val="Normal"/>
    <w:qFormat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  <w:rPr/>
  </w:style>
  <w:style w:type="paragraph" w:styleId="annotation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before="0" w:after="0"/>
      <w:jc w:val="start"/>
    </w:pPr>
    <w:rPr>
      <w:rFonts w:ascii="Times New Roman" w:hAnsi="Times New Roman"/>
      <w:b/>
      <w:bCs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star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pPr>
      <w:overflowPunct w:val="true"/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qFormat/>
    <w:pPr>
      <w:keepNext w:val="true"/>
      <w:keepLines/>
      <w:overflowPunct w:val="true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FP" w:customStyle="1">
    <w:name w:val="FP"/>
    <w:basedOn w:val="Normal"/>
    <w:qFormat/>
    <w:pPr>
      <w:overflowPunct w:val="true"/>
      <w:textAlignment w:val="baseline"/>
    </w:pPr>
    <w:rPr>
      <w:color w:val="000000"/>
      <w:lang w:eastAsia="ja-JP"/>
    </w:rPr>
  </w:style>
  <w:style w:type="paragraph" w:styleId="Revision1" w:customStyle="1">
    <w:name w:val="Revision1"/>
    <w:uiPriority w:val="99"/>
    <w:semiHidden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keepLines/>
      <w:pBdr>
        <w:top w:val="single" w:sz="12" w:space="3" w:color="000000"/>
      </w:pBdr>
      <w:overflowPunct w:val="true"/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NO" w:customStyle="1">
    <w:name w:val="NO"/>
    <w:basedOn w:val="Normal"/>
    <w:qFormat/>
    <w:pPr>
      <w:keepLines/>
      <w:ind w:hanging="851" w:start="1135"/>
    </w:pPr>
    <w:rPr/>
  </w:style>
  <w:style w:type="paragraph" w:styleId="Revision2" w:customStyle="1">
    <w:name w:val="Revision2"/>
    <w:uiPriority w:val="99"/>
    <w:unhideWhenUsed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Revision3" w:customStyle="1">
    <w:name w:val="Revision3"/>
    <w:uiPriority w:val="99"/>
    <w:unhideWhenUsed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LibreOffice/25.2.5.2$Linux_X86_64 LibreOffice_project/520$Build-2</Application>
  <AppVersion>15.0000</AppVersion>
  <Pages>3</Pages>
  <Words>744</Words>
  <Characters>3853</Characters>
  <CharactersWithSpaces>4511</CharactersWithSpaces>
  <Paragraphs>116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2025-09-08T11:37:00Z</dcterms:created>
  <dc:creator>Alain Sultan</dc:creator>
  <dc:description/>
  <dc:language>de-DE</dc:language>
  <cp:lastModifiedBy/>
  <cp:lastPrinted>2001-04-23T09:30:00Z</cp:lastPrinted>
  <dcterms:modified xsi:type="dcterms:W3CDTF">2025-09-18T15:14:30Z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0B15761BCF204E72885AB74B1906C855_13</vt:lpwstr>
  </property>
  <property fmtid="{D5CDD505-2E9C-101B-9397-08002B2CF9AE}" pid="3" name="KSOProductBuildVer">
    <vt:lpwstr>2052-12.8.2.15091</vt:lpwstr>
  </property>
</Properties>
</file>